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E7" w:rsidRPr="00434951" w:rsidRDefault="00434951" w:rsidP="00434951">
      <w:pPr>
        <w:pStyle w:val="Titel"/>
      </w:pPr>
      <w:r w:rsidRPr="00434951">
        <w:t>Grundsätze der Leistungsfeststellung und –bewertung</w:t>
      </w:r>
      <w:bookmarkStart w:id="0" w:name="_GoBack"/>
      <w:bookmarkEnd w:id="0"/>
    </w:p>
    <w:p w:rsidR="005F3BC4" w:rsidRPr="006C7BD6" w:rsidRDefault="005F3BC4" w:rsidP="00434951">
      <w:pPr>
        <w:pStyle w:val="Listenabsatz"/>
        <w:numPr>
          <w:ilvl w:val="0"/>
          <w:numId w:val="1"/>
        </w:numPr>
      </w:pPr>
      <w:r w:rsidRPr="006C7BD6">
        <w:rPr>
          <w:b/>
        </w:rPr>
        <w:t>Versuchsphase: gilt ab sofort bis zur nächsten FK</w:t>
      </w:r>
    </w:p>
    <w:p w:rsidR="00434951" w:rsidRPr="006C7BD6" w:rsidRDefault="00434951" w:rsidP="00434951">
      <w:pPr>
        <w:pStyle w:val="Listenabsatz"/>
        <w:numPr>
          <w:ilvl w:val="0"/>
          <w:numId w:val="1"/>
        </w:numPr>
      </w:pPr>
      <w:r w:rsidRPr="006C7BD6">
        <w:t xml:space="preserve">Die FK bestimmt das Verhältnis schriftlicher, mündlicher und </w:t>
      </w:r>
      <w:r w:rsidRPr="006C7BD6">
        <w:rPr>
          <w:u w:val="single"/>
        </w:rPr>
        <w:t>fachspezifischer Leistungen</w:t>
      </w:r>
      <w:r w:rsidRPr="006C7BD6">
        <w:t xml:space="preserve"> bei der Zeugnisnote. Dabei gehen die Ergebnisse der schriftlichen und der sonstigen Leistungen in etwa zu gleichen Teilen in die Zeugnisnote ein.</w:t>
      </w:r>
    </w:p>
    <w:p w:rsidR="00385768" w:rsidRPr="006C7BD6" w:rsidRDefault="00434951" w:rsidP="00434951">
      <w:pPr>
        <w:pStyle w:val="Listenabsatz"/>
      </w:pPr>
      <w:r w:rsidRPr="006C7BD6">
        <w:rPr>
          <w:b/>
        </w:rPr>
        <w:t>schriftlich/mündlich/fachspezifisch</w:t>
      </w:r>
      <w:r w:rsidR="00385768" w:rsidRPr="006C7BD6">
        <w:rPr>
          <w:b/>
        </w:rPr>
        <w:t xml:space="preserve">: </w:t>
      </w:r>
    </w:p>
    <w:p w:rsidR="00385768" w:rsidRPr="006C7BD6" w:rsidRDefault="001B4AF7" w:rsidP="00434951">
      <w:pPr>
        <w:pStyle w:val="Listenabsatz"/>
      </w:pPr>
      <w:r w:rsidRPr="006C7BD6">
        <w:t xml:space="preserve">40/30/30 </w:t>
      </w:r>
    </w:p>
    <w:p w:rsidR="00D42C7A" w:rsidRPr="006C7BD6" w:rsidRDefault="00D42C7A" w:rsidP="00434951">
      <w:pPr>
        <w:pStyle w:val="Listenabsatz"/>
        <w:numPr>
          <w:ilvl w:val="0"/>
          <w:numId w:val="1"/>
        </w:numPr>
      </w:pPr>
      <w:r w:rsidRPr="006C7BD6">
        <w:t xml:space="preserve">Aufgabe: </w:t>
      </w:r>
      <w:r w:rsidR="00BD72F9" w:rsidRPr="006C7BD6">
        <w:t>Festlegung der Form und Anzahl der fachspezifischen Leistungen</w:t>
      </w:r>
      <w:r w:rsidRPr="006C7BD6">
        <w:t xml:space="preserve"> </w:t>
      </w:r>
    </w:p>
    <w:p w:rsidR="00D42C7A" w:rsidRPr="006C7BD6" w:rsidRDefault="00D42C7A" w:rsidP="00D42C7A">
      <w:pPr>
        <w:pStyle w:val="Listenabsatz"/>
        <w:numPr>
          <w:ilvl w:val="1"/>
          <w:numId w:val="1"/>
        </w:numPr>
        <w:rPr>
          <w:b/>
        </w:rPr>
      </w:pPr>
      <w:r w:rsidRPr="006C7BD6">
        <w:rPr>
          <w:b/>
        </w:rPr>
        <w:t>AG bereitet Vorlage zur nächsten FK vor:</w:t>
      </w:r>
    </w:p>
    <w:p w:rsidR="00D42C7A" w:rsidRPr="006C7BD6" w:rsidRDefault="00D42C7A" w:rsidP="00D42C7A">
      <w:pPr>
        <w:pStyle w:val="Listenabsatz"/>
        <w:numPr>
          <w:ilvl w:val="2"/>
          <w:numId w:val="1"/>
        </w:numPr>
        <w:rPr>
          <w:b/>
        </w:rPr>
      </w:pPr>
      <w:r w:rsidRPr="006C7BD6">
        <w:rPr>
          <w:b/>
        </w:rPr>
        <w:t>Teilnehmer:</w:t>
      </w:r>
      <w:r w:rsidR="001B4AF7" w:rsidRPr="006C7BD6">
        <w:rPr>
          <w:b/>
        </w:rPr>
        <w:t xml:space="preserve"> JÄC, GOL</w:t>
      </w:r>
      <w:r w:rsidR="005F3BC4" w:rsidRPr="006C7BD6">
        <w:rPr>
          <w:b/>
        </w:rPr>
        <w:t>; REM</w:t>
      </w:r>
    </w:p>
    <w:p w:rsidR="00D42C7A" w:rsidRDefault="00385768" w:rsidP="00385768">
      <w:pPr>
        <w:pStyle w:val="Listenabsatz"/>
        <w:numPr>
          <w:ilvl w:val="0"/>
          <w:numId w:val="1"/>
        </w:numPr>
      </w:pPr>
      <w:r>
        <w:t>Angemessene Berücksichtigung methodisch-strategischer sowie sozial-</w:t>
      </w:r>
      <w:r w:rsidR="007B348B">
        <w:t>kommunikativer</w:t>
      </w:r>
      <w:r>
        <w:t xml:space="preserve"> Leistungen</w:t>
      </w:r>
    </w:p>
    <w:p w:rsidR="00434951" w:rsidRPr="006C7BD6" w:rsidRDefault="00434951" w:rsidP="00716B3D">
      <w:pPr>
        <w:pStyle w:val="Listenabsatz"/>
        <w:numPr>
          <w:ilvl w:val="0"/>
          <w:numId w:val="1"/>
        </w:numPr>
        <w:rPr>
          <w:b/>
        </w:rPr>
      </w:pPr>
      <w:r w:rsidRPr="006C7BD6">
        <w:t>Notenschlüssel für die Bewe</w:t>
      </w:r>
      <w:r w:rsidR="00716B3D" w:rsidRPr="006C7BD6">
        <w:t>r</w:t>
      </w:r>
      <w:r w:rsidRPr="006C7BD6">
        <w:t>tung schriftlicher Arbeiten</w:t>
      </w:r>
      <w:r w:rsidRPr="006C7BD6">
        <w:br/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1218"/>
        <w:gridCol w:w="1217"/>
        <w:gridCol w:w="1217"/>
        <w:gridCol w:w="1217"/>
        <w:gridCol w:w="1227"/>
        <w:gridCol w:w="1238"/>
      </w:tblGrid>
      <w:tr w:rsidR="00716B3D" w:rsidRPr="006C7BD6" w:rsidTr="00255DCD">
        <w:trPr>
          <w:jc w:val="center"/>
        </w:trPr>
        <w:tc>
          <w:tcPr>
            <w:tcW w:w="1234" w:type="dxa"/>
          </w:tcPr>
          <w:p w:rsidR="00716B3D" w:rsidRPr="006C7BD6" w:rsidRDefault="00716B3D" w:rsidP="00255DCD">
            <w:pPr>
              <w:spacing w:after="0" w:line="240" w:lineRule="auto"/>
              <w:jc w:val="center"/>
              <w:rPr>
                <w:b/>
              </w:rPr>
            </w:pPr>
            <w:r w:rsidRPr="006C7BD6">
              <w:rPr>
                <w:b/>
              </w:rPr>
              <w:t>I</w:t>
            </w:r>
          </w:p>
        </w:tc>
        <w:tc>
          <w:tcPr>
            <w:tcW w:w="1218" w:type="dxa"/>
          </w:tcPr>
          <w:p w:rsidR="00716B3D" w:rsidRPr="006C7BD6" w:rsidRDefault="00716B3D" w:rsidP="00255DCD">
            <w:pPr>
              <w:spacing w:after="0" w:line="240" w:lineRule="auto"/>
              <w:jc w:val="center"/>
              <w:rPr>
                <w:b/>
              </w:rPr>
            </w:pPr>
            <w:r w:rsidRPr="006C7BD6">
              <w:rPr>
                <w:b/>
              </w:rPr>
              <w:t>II</w:t>
            </w:r>
          </w:p>
        </w:tc>
        <w:tc>
          <w:tcPr>
            <w:tcW w:w="1217" w:type="dxa"/>
          </w:tcPr>
          <w:p w:rsidR="00716B3D" w:rsidRPr="006C7BD6" w:rsidRDefault="00716B3D" w:rsidP="00255DCD">
            <w:pPr>
              <w:spacing w:after="0" w:line="240" w:lineRule="auto"/>
              <w:jc w:val="center"/>
              <w:rPr>
                <w:b/>
              </w:rPr>
            </w:pPr>
            <w:r w:rsidRPr="006C7BD6">
              <w:rPr>
                <w:b/>
              </w:rPr>
              <w:t>III</w:t>
            </w:r>
          </w:p>
        </w:tc>
        <w:tc>
          <w:tcPr>
            <w:tcW w:w="1217" w:type="dxa"/>
          </w:tcPr>
          <w:p w:rsidR="00716B3D" w:rsidRPr="006C7BD6" w:rsidRDefault="00716B3D" w:rsidP="00255DCD">
            <w:pPr>
              <w:spacing w:after="0" w:line="240" w:lineRule="auto"/>
              <w:jc w:val="center"/>
              <w:rPr>
                <w:b/>
              </w:rPr>
            </w:pPr>
            <w:r w:rsidRPr="006C7BD6">
              <w:rPr>
                <w:b/>
              </w:rPr>
              <w:t>IV</w:t>
            </w:r>
          </w:p>
        </w:tc>
        <w:tc>
          <w:tcPr>
            <w:tcW w:w="1217" w:type="dxa"/>
          </w:tcPr>
          <w:p w:rsidR="00716B3D" w:rsidRPr="006C7BD6" w:rsidRDefault="00716B3D" w:rsidP="00255DCD">
            <w:pPr>
              <w:spacing w:after="0" w:line="240" w:lineRule="auto"/>
              <w:jc w:val="center"/>
              <w:rPr>
                <w:b/>
              </w:rPr>
            </w:pPr>
            <w:r w:rsidRPr="006C7BD6">
              <w:rPr>
                <w:b/>
              </w:rPr>
              <w:t>V</w:t>
            </w:r>
          </w:p>
        </w:tc>
        <w:tc>
          <w:tcPr>
            <w:tcW w:w="1227" w:type="dxa"/>
          </w:tcPr>
          <w:p w:rsidR="00716B3D" w:rsidRPr="006C7BD6" w:rsidRDefault="00716B3D" w:rsidP="00255DCD">
            <w:pPr>
              <w:spacing w:after="0" w:line="240" w:lineRule="auto"/>
              <w:jc w:val="center"/>
              <w:rPr>
                <w:b/>
              </w:rPr>
            </w:pPr>
            <w:r w:rsidRPr="006C7BD6">
              <w:rPr>
                <w:b/>
              </w:rPr>
              <w:t>VI</w:t>
            </w:r>
          </w:p>
        </w:tc>
        <w:tc>
          <w:tcPr>
            <w:tcW w:w="1238" w:type="dxa"/>
          </w:tcPr>
          <w:p w:rsidR="00716B3D" w:rsidRPr="006C7BD6" w:rsidRDefault="00716B3D" w:rsidP="00255DCD">
            <w:pPr>
              <w:spacing w:after="0" w:line="240" w:lineRule="auto"/>
              <w:jc w:val="center"/>
              <w:rPr>
                <w:b/>
              </w:rPr>
            </w:pPr>
            <w:r w:rsidRPr="006C7BD6">
              <w:rPr>
                <w:b/>
              </w:rPr>
              <w:t>Zweig</w:t>
            </w:r>
          </w:p>
        </w:tc>
      </w:tr>
      <w:tr w:rsidR="00716B3D" w:rsidRPr="006C7BD6" w:rsidTr="00255DCD">
        <w:trPr>
          <w:jc w:val="center"/>
        </w:trPr>
        <w:tc>
          <w:tcPr>
            <w:tcW w:w="1234" w:type="dxa"/>
          </w:tcPr>
          <w:p w:rsidR="00716B3D" w:rsidRPr="006C7BD6" w:rsidRDefault="00CC33BF" w:rsidP="00255DCD">
            <w:pPr>
              <w:spacing w:after="0" w:line="240" w:lineRule="auto"/>
              <w:jc w:val="center"/>
              <w:rPr>
                <w:b/>
              </w:rPr>
            </w:pPr>
            <w:r w:rsidRPr="006C7BD6">
              <w:rPr>
                <w:b/>
              </w:rPr>
              <w:t>100-91</w:t>
            </w:r>
          </w:p>
        </w:tc>
        <w:tc>
          <w:tcPr>
            <w:tcW w:w="1218" w:type="dxa"/>
          </w:tcPr>
          <w:p w:rsidR="00716B3D" w:rsidRPr="006C7BD6" w:rsidRDefault="00CC33BF" w:rsidP="00255DCD">
            <w:pPr>
              <w:spacing w:after="0" w:line="240" w:lineRule="auto"/>
              <w:jc w:val="center"/>
              <w:rPr>
                <w:b/>
              </w:rPr>
            </w:pPr>
            <w:r w:rsidRPr="006C7BD6">
              <w:rPr>
                <w:b/>
              </w:rPr>
              <w:t>90-80</w:t>
            </w:r>
          </w:p>
        </w:tc>
        <w:tc>
          <w:tcPr>
            <w:tcW w:w="1217" w:type="dxa"/>
          </w:tcPr>
          <w:p w:rsidR="00716B3D" w:rsidRPr="006C7BD6" w:rsidRDefault="00CC33BF" w:rsidP="00255DCD">
            <w:pPr>
              <w:spacing w:after="0" w:line="240" w:lineRule="auto"/>
              <w:jc w:val="center"/>
              <w:rPr>
                <w:b/>
              </w:rPr>
            </w:pPr>
            <w:r w:rsidRPr="006C7BD6">
              <w:rPr>
                <w:b/>
              </w:rPr>
              <w:t>79-65</w:t>
            </w:r>
          </w:p>
        </w:tc>
        <w:tc>
          <w:tcPr>
            <w:tcW w:w="1217" w:type="dxa"/>
          </w:tcPr>
          <w:p w:rsidR="00716B3D" w:rsidRPr="006C7BD6" w:rsidRDefault="00CC33BF" w:rsidP="00255DCD">
            <w:pPr>
              <w:spacing w:after="0" w:line="240" w:lineRule="auto"/>
              <w:jc w:val="center"/>
              <w:rPr>
                <w:b/>
              </w:rPr>
            </w:pPr>
            <w:r w:rsidRPr="006C7BD6">
              <w:rPr>
                <w:b/>
              </w:rPr>
              <w:t>64-50</w:t>
            </w:r>
          </w:p>
        </w:tc>
        <w:tc>
          <w:tcPr>
            <w:tcW w:w="1217" w:type="dxa"/>
          </w:tcPr>
          <w:p w:rsidR="00716B3D" w:rsidRPr="006C7BD6" w:rsidRDefault="00CC33BF" w:rsidP="00255DCD">
            <w:pPr>
              <w:spacing w:after="0" w:line="240" w:lineRule="auto"/>
              <w:jc w:val="center"/>
              <w:rPr>
                <w:b/>
              </w:rPr>
            </w:pPr>
            <w:r w:rsidRPr="006C7BD6">
              <w:rPr>
                <w:b/>
              </w:rPr>
              <w:t>49-30</w:t>
            </w:r>
          </w:p>
        </w:tc>
        <w:tc>
          <w:tcPr>
            <w:tcW w:w="1227" w:type="dxa"/>
          </w:tcPr>
          <w:p w:rsidR="00716B3D" w:rsidRPr="006C7BD6" w:rsidRDefault="00CC33BF" w:rsidP="00255DCD">
            <w:pPr>
              <w:spacing w:after="0" w:line="240" w:lineRule="auto"/>
              <w:jc w:val="center"/>
              <w:rPr>
                <w:b/>
              </w:rPr>
            </w:pPr>
            <w:r w:rsidRPr="006C7BD6">
              <w:rPr>
                <w:b/>
              </w:rPr>
              <w:t>&lt;30</w:t>
            </w:r>
          </w:p>
        </w:tc>
        <w:tc>
          <w:tcPr>
            <w:tcW w:w="1238" w:type="dxa"/>
          </w:tcPr>
          <w:p w:rsidR="00716B3D" w:rsidRPr="006C7BD6" w:rsidRDefault="00716B3D" w:rsidP="00255DCD">
            <w:pPr>
              <w:spacing w:after="0" w:line="240" w:lineRule="auto"/>
              <w:jc w:val="center"/>
              <w:rPr>
                <w:b/>
              </w:rPr>
            </w:pPr>
            <w:r w:rsidRPr="006C7BD6">
              <w:rPr>
                <w:b/>
              </w:rPr>
              <w:t>G</w:t>
            </w:r>
          </w:p>
        </w:tc>
      </w:tr>
      <w:tr w:rsidR="00716B3D" w:rsidRPr="006C7BD6" w:rsidTr="00255DCD">
        <w:trPr>
          <w:jc w:val="center"/>
        </w:trPr>
        <w:tc>
          <w:tcPr>
            <w:tcW w:w="1234" w:type="dxa"/>
          </w:tcPr>
          <w:p w:rsidR="00716B3D" w:rsidRPr="006C7BD6" w:rsidRDefault="00BC2E17" w:rsidP="00255DCD">
            <w:pPr>
              <w:spacing w:after="0" w:line="240" w:lineRule="auto"/>
              <w:jc w:val="center"/>
              <w:rPr>
                <w:b/>
              </w:rPr>
            </w:pPr>
            <w:r w:rsidRPr="006C7BD6">
              <w:rPr>
                <w:b/>
              </w:rPr>
              <w:t>100-91</w:t>
            </w:r>
          </w:p>
        </w:tc>
        <w:tc>
          <w:tcPr>
            <w:tcW w:w="1218" w:type="dxa"/>
          </w:tcPr>
          <w:p w:rsidR="00716B3D" w:rsidRPr="006C7BD6" w:rsidRDefault="00BC2E17" w:rsidP="00255DCD">
            <w:pPr>
              <w:spacing w:after="0" w:line="240" w:lineRule="auto"/>
              <w:jc w:val="center"/>
              <w:rPr>
                <w:b/>
              </w:rPr>
            </w:pPr>
            <w:r w:rsidRPr="006C7BD6">
              <w:rPr>
                <w:b/>
              </w:rPr>
              <w:t>90-80</w:t>
            </w:r>
          </w:p>
        </w:tc>
        <w:tc>
          <w:tcPr>
            <w:tcW w:w="1217" w:type="dxa"/>
          </w:tcPr>
          <w:p w:rsidR="00716B3D" w:rsidRPr="006C7BD6" w:rsidRDefault="00BC2E17" w:rsidP="00255DCD">
            <w:pPr>
              <w:spacing w:after="0" w:line="240" w:lineRule="auto"/>
              <w:jc w:val="center"/>
              <w:rPr>
                <w:b/>
              </w:rPr>
            </w:pPr>
            <w:r w:rsidRPr="006C7BD6">
              <w:rPr>
                <w:b/>
              </w:rPr>
              <w:t>79-65</w:t>
            </w:r>
          </w:p>
        </w:tc>
        <w:tc>
          <w:tcPr>
            <w:tcW w:w="1217" w:type="dxa"/>
          </w:tcPr>
          <w:p w:rsidR="00716B3D" w:rsidRPr="006C7BD6" w:rsidRDefault="00BC2E17" w:rsidP="00255DCD">
            <w:pPr>
              <w:spacing w:after="0" w:line="240" w:lineRule="auto"/>
              <w:jc w:val="center"/>
              <w:rPr>
                <w:b/>
              </w:rPr>
            </w:pPr>
            <w:r w:rsidRPr="006C7BD6">
              <w:rPr>
                <w:b/>
              </w:rPr>
              <w:t>64-45</w:t>
            </w:r>
          </w:p>
        </w:tc>
        <w:tc>
          <w:tcPr>
            <w:tcW w:w="1217" w:type="dxa"/>
          </w:tcPr>
          <w:p w:rsidR="00716B3D" w:rsidRPr="006C7BD6" w:rsidRDefault="00BC2E17" w:rsidP="00255DCD">
            <w:pPr>
              <w:spacing w:after="0" w:line="240" w:lineRule="auto"/>
              <w:jc w:val="center"/>
              <w:rPr>
                <w:b/>
              </w:rPr>
            </w:pPr>
            <w:r w:rsidRPr="006C7BD6">
              <w:rPr>
                <w:b/>
              </w:rPr>
              <w:t>44-20</w:t>
            </w:r>
          </w:p>
        </w:tc>
        <w:tc>
          <w:tcPr>
            <w:tcW w:w="1227" w:type="dxa"/>
          </w:tcPr>
          <w:p w:rsidR="00716B3D" w:rsidRPr="006C7BD6" w:rsidRDefault="00BC2E17" w:rsidP="00255DCD">
            <w:pPr>
              <w:spacing w:after="0" w:line="240" w:lineRule="auto"/>
              <w:jc w:val="center"/>
              <w:rPr>
                <w:b/>
              </w:rPr>
            </w:pPr>
            <w:r w:rsidRPr="006C7BD6">
              <w:rPr>
                <w:b/>
              </w:rPr>
              <w:t>&lt;20</w:t>
            </w:r>
          </w:p>
        </w:tc>
        <w:tc>
          <w:tcPr>
            <w:tcW w:w="1238" w:type="dxa"/>
          </w:tcPr>
          <w:p w:rsidR="00716B3D" w:rsidRPr="006C7BD6" w:rsidRDefault="00716B3D" w:rsidP="00255DCD">
            <w:pPr>
              <w:spacing w:after="0" w:line="240" w:lineRule="auto"/>
              <w:jc w:val="center"/>
              <w:rPr>
                <w:b/>
              </w:rPr>
            </w:pPr>
            <w:r w:rsidRPr="006C7BD6">
              <w:rPr>
                <w:b/>
              </w:rPr>
              <w:t>K/R</w:t>
            </w:r>
          </w:p>
        </w:tc>
      </w:tr>
      <w:tr w:rsidR="00716B3D" w:rsidRPr="006C7BD6" w:rsidTr="00255DCD">
        <w:trPr>
          <w:jc w:val="center"/>
        </w:trPr>
        <w:tc>
          <w:tcPr>
            <w:tcW w:w="1234" w:type="dxa"/>
          </w:tcPr>
          <w:p w:rsidR="00716B3D" w:rsidRPr="006C7BD6" w:rsidRDefault="006866E8" w:rsidP="00255DCD">
            <w:pPr>
              <w:spacing w:after="0" w:line="240" w:lineRule="auto"/>
              <w:jc w:val="center"/>
              <w:rPr>
                <w:b/>
              </w:rPr>
            </w:pPr>
            <w:r w:rsidRPr="006C7BD6">
              <w:rPr>
                <w:b/>
              </w:rPr>
              <w:t>100-89</w:t>
            </w:r>
          </w:p>
        </w:tc>
        <w:tc>
          <w:tcPr>
            <w:tcW w:w="1218" w:type="dxa"/>
          </w:tcPr>
          <w:p w:rsidR="00716B3D" w:rsidRPr="006C7BD6" w:rsidRDefault="006866E8" w:rsidP="00255DCD">
            <w:pPr>
              <w:spacing w:after="0" w:line="240" w:lineRule="auto"/>
              <w:jc w:val="center"/>
              <w:rPr>
                <w:b/>
              </w:rPr>
            </w:pPr>
            <w:r w:rsidRPr="006C7BD6">
              <w:rPr>
                <w:b/>
              </w:rPr>
              <w:t>88-75</w:t>
            </w:r>
          </w:p>
        </w:tc>
        <w:tc>
          <w:tcPr>
            <w:tcW w:w="1217" w:type="dxa"/>
          </w:tcPr>
          <w:p w:rsidR="00716B3D" w:rsidRPr="006C7BD6" w:rsidRDefault="006866E8" w:rsidP="00255DCD">
            <w:pPr>
              <w:spacing w:after="0" w:line="240" w:lineRule="auto"/>
              <w:jc w:val="center"/>
              <w:rPr>
                <w:b/>
              </w:rPr>
            </w:pPr>
            <w:r w:rsidRPr="006C7BD6">
              <w:rPr>
                <w:b/>
              </w:rPr>
              <w:t>74-60</w:t>
            </w:r>
          </w:p>
        </w:tc>
        <w:tc>
          <w:tcPr>
            <w:tcW w:w="1217" w:type="dxa"/>
          </w:tcPr>
          <w:p w:rsidR="00716B3D" w:rsidRPr="006C7BD6" w:rsidRDefault="006866E8" w:rsidP="00255DCD">
            <w:pPr>
              <w:spacing w:after="0" w:line="240" w:lineRule="auto"/>
              <w:jc w:val="center"/>
              <w:rPr>
                <w:b/>
              </w:rPr>
            </w:pPr>
            <w:r w:rsidRPr="006C7BD6">
              <w:rPr>
                <w:b/>
              </w:rPr>
              <w:t>59-40</w:t>
            </w:r>
          </w:p>
        </w:tc>
        <w:tc>
          <w:tcPr>
            <w:tcW w:w="1217" w:type="dxa"/>
          </w:tcPr>
          <w:p w:rsidR="00716B3D" w:rsidRPr="006C7BD6" w:rsidRDefault="006866E8" w:rsidP="00255DCD">
            <w:pPr>
              <w:spacing w:after="0" w:line="240" w:lineRule="auto"/>
              <w:jc w:val="center"/>
              <w:rPr>
                <w:b/>
              </w:rPr>
            </w:pPr>
            <w:r w:rsidRPr="006C7BD6">
              <w:rPr>
                <w:b/>
              </w:rPr>
              <w:t>39-20</w:t>
            </w:r>
          </w:p>
        </w:tc>
        <w:tc>
          <w:tcPr>
            <w:tcW w:w="1227" w:type="dxa"/>
          </w:tcPr>
          <w:p w:rsidR="00716B3D" w:rsidRPr="006C7BD6" w:rsidRDefault="006866E8" w:rsidP="00255DCD">
            <w:pPr>
              <w:spacing w:after="0" w:line="240" w:lineRule="auto"/>
              <w:jc w:val="center"/>
              <w:rPr>
                <w:b/>
              </w:rPr>
            </w:pPr>
            <w:r w:rsidRPr="006C7BD6">
              <w:rPr>
                <w:b/>
              </w:rPr>
              <w:t>&lt;20</w:t>
            </w:r>
          </w:p>
        </w:tc>
        <w:tc>
          <w:tcPr>
            <w:tcW w:w="1238" w:type="dxa"/>
          </w:tcPr>
          <w:p w:rsidR="00716B3D" w:rsidRPr="006C7BD6" w:rsidRDefault="00716B3D" w:rsidP="00255DCD">
            <w:pPr>
              <w:spacing w:after="0" w:line="240" w:lineRule="auto"/>
              <w:jc w:val="center"/>
              <w:rPr>
                <w:b/>
              </w:rPr>
            </w:pPr>
            <w:r w:rsidRPr="006C7BD6">
              <w:rPr>
                <w:b/>
              </w:rPr>
              <w:t>K/H</w:t>
            </w:r>
          </w:p>
        </w:tc>
      </w:tr>
    </w:tbl>
    <w:p w:rsidR="00716B3D" w:rsidRPr="006C7BD6" w:rsidRDefault="00716B3D" w:rsidP="00716B3D"/>
    <w:p w:rsidR="00716B3D" w:rsidRPr="00D42C7A" w:rsidRDefault="00716B3D" w:rsidP="00716B3D">
      <w:pPr>
        <w:pStyle w:val="Listenabsatz"/>
        <w:numPr>
          <w:ilvl w:val="0"/>
          <w:numId w:val="1"/>
        </w:numPr>
        <w:rPr>
          <w:i/>
        </w:rPr>
      </w:pPr>
      <w:r>
        <w:t>In schriftlichen Arbeiten sind alle drei Anforderungsbereiche zu berücksichtigen. Der Schwerpunkt liegt in der Regel bei I/II.</w:t>
      </w:r>
      <w:r w:rsidR="00D42C7A">
        <w:t xml:space="preserve"> </w:t>
      </w:r>
      <w:r w:rsidR="00D42C7A" w:rsidRPr="00D42C7A">
        <w:rPr>
          <w:i/>
        </w:rPr>
        <w:t>Reproduzieren (AFB I), Zusammenhänge herstellen (AFB II) und Reflektieren/Beurteilen (AFB III)</w:t>
      </w:r>
    </w:p>
    <w:p w:rsidR="00716B3D" w:rsidRDefault="00716B3D" w:rsidP="00716B3D">
      <w:pPr>
        <w:pStyle w:val="Listenabsatz"/>
        <w:numPr>
          <w:ilvl w:val="0"/>
          <w:numId w:val="1"/>
        </w:numPr>
      </w:pPr>
      <w:r>
        <w:t>Im Unterricht ist grundsätzlich zwischen Lern- und Leistungssituationen zu unterscheiden,</w:t>
      </w:r>
      <w:r w:rsidR="005D191B">
        <w:t xml:space="preserve"> wobei es den Schülern transparent sein muss, ob es sich um eine Lern- oder Leistungssituation handelt.</w:t>
      </w:r>
    </w:p>
    <w:p w:rsidR="005D191B" w:rsidRDefault="005D191B" w:rsidP="00716B3D">
      <w:pPr>
        <w:pStyle w:val="Listenabsatz"/>
        <w:numPr>
          <w:ilvl w:val="0"/>
          <w:numId w:val="1"/>
        </w:numPr>
      </w:pPr>
      <w:r>
        <w:t xml:space="preserve">Innere Differenzierung als Grundprinzip des Unterrichts bedeutet nicht , jedem Schüler ein individualisiertes Arbeitsblatt zur Verfügung zu stellen, sondern niveaudifferenzierte Aufgaben zu formulieren und differenzierte Angebote zu machen, um die Schüler auf eine einheitliche Leistungsfeststellung vorzubereiten. </w:t>
      </w:r>
      <w:r w:rsidR="00385768">
        <w:t xml:space="preserve">Die HR-KC wurden mit Blick auf die Oberschule verfasst, in der es keine Schulzweige sondern Kurse gibt. Da die SuS in der KGS einem Schulzweig zugeordnet sind, </w:t>
      </w:r>
      <w:r>
        <w:t xml:space="preserve">können jedoch </w:t>
      </w:r>
      <w:proofErr w:type="gramStart"/>
      <w:r w:rsidR="00385768">
        <w:t>ganz</w:t>
      </w:r>
      <w:proofErr w:type="gramEnd"/>
      <w:r w:rsidR="00385768">
        <w:t xml:space="preserve"> oder teilweise </w:t>
      </w:r>
      <w:r>
        <w:t>zweigspezifis</w:t>
      </w:r>
      <w:r w:rsidR="00BD72F9">
        <w:t>c</w:t>
      </w:r>
      <w:r w:rsidR="00385768">
        <w:t>he Arbeiten geschrieben werden.</w:t>
      </w:r>
    </w:p>
    <w:p w:rsidR="00BD72F9" w:rsidRDefault="00BD72F9" w:rsidP="00BD72F9">
      <w:pPr>
        <w:pStyle w:val="Listenabsatz"/>
        <w:numPr>
          <w:ilvl w:val="0"/>
          <w:numId w:val="1"/>
        </w:numPr>
      </w:pPr>
      <w:r>
        <w:t>Die in den KC formulierten Kompetenzen sind als Regelanforderungen zu verstehen.</w:t>
      </w:r>
    </w:p>
    <w:p w:rsidR="00BD72F9" w:rsidRDefault="00BD72F9" w:rsidP="00716B3D">
      <w:pPr>
        <w:pStyle w:val="Listenabsatz"/>
        <w:numPr>
          <w:ilvl w:val="0"/>
          <w:numId w:val="1"/>
        </w:numPr>
      </w:pPr>
      <w:r>
        <w:t>Einheitliche Arbeiten (Regelanforderungen)</w:t>
      </w:r>
    </w:p>
    <w:p w:rsidR="00BD72F9" w:rsidRDefault="00BD72F9" w:rsidP="00716B3D">
      <w:pPr>
        <w:pStyle w:val="Listenabsatz"/>
        <w:numPr>
          <w:ilvl w:val="0"/>
          <w:numId w:val="1"/>
        </w:numPr>
      </w:pPr>
      <w:r>
        <w:t>Überprüfung unmittelbar vorausgegangener und langfristig angelegter Kompetenzen</w:t>
      </w:r>
    </w:p>
    <w:p w:rsidR="00BD72F9" w:rsidRDefault="00BD72F9" w:rsidP="00716B3D">
      <w:pPr>
        <w:pStyle w:val="Listenabsatz"/>
        <w:numPr>
          <w:ilvl w:val="0"/>
          <w:numId w:val="1"/>
        </w:numPr>
      </w:pPr>
      <w:r>
        <w:t>Einheitliche Bewertung</w:t>
      </w:r>
    </w:p>
    <w:p w:rsidR="00BD72F9" w:rsidRDefault="00BD72F9" w:rsidP="00BD72F9">
      <w:pPr>
        <w:pStyle w:val="Listenabsatz"/>
        <w:numPr>
          <w:ilvl w:val="1"/>
          <w:numId w:val="1"/>
        </w:numPr>
      </w:pPr>
      <w:r>
        <w:t>Zu bewerten sind</w:t>
      </w:r>
    </w:p>
    <w:p w:rsidR="00BD72F9" w:rsidRDefault="00BD72F9" w:rsidP="00BD72F9">
      <w:pPr>
        <w:pStyle w:val="Listenabsatz"/>
        <w:numPr>
          <w:ilvl w:val="2"/>
          <w:numId w:val="1"/>
        </w:numPr>
      </w:pPr>
      <w:r>
        <w:t>Richtigkeit der Ergebnisse</w:t>
      </w:r>
    </w:p>
    <w:p w:rsidR="00BD72F9" w:rsidRDefault="00BD72F9" w:rsidP="00BD72F9">
      <w:pPr>
        <w:pStyle w:val="Listenabsatz"/>
        <w:numPr>
          <w:ilvl w:val="2"/>
          <w:numId w:val="1"/>
        </w:numPr>
      </w:pPr>
      <w:r>
        <w:t>Formale Gestaltung</w:t>
      </w:r>
    </w:p>
    <w:p w:rsidR="00BD72F9" w:rsidRDefault="00BD72F9" w:rsidP="00BD72F9">
      <w:pPr>
        <w:pStyle w:val="Listenabsatz"/>
        <w:numPr>
          <w:ilvl w:val="2"/>
          <w:numId w:val="1"/>
        </w:numPr>
      </w:pPr>
      <w:r>
        <w:t>Inhaltliche Qualität</w:t>
      </w:r>
    </w:p>
    <w:p w:rsidR="00BD72F9" w:rsidRDefault="00BD72F9" w:rsidP="00BD72F9">
      <w:pPr>
        <w:pStyle w:val="Listenabsatz"/>
        <w:numPr>
          <w:ilvl w:val="2"/>
          <w:numId w:val="1"/>
        </w:numPr>
      </w:pPr>
      <w:r>
        <w:lastRenderedPageBreak/>
        <w:t>Angemessener Stil</w:t>
      </w:r>
    </w:p>
    <w:p w:rsidR="00BD72F9" w:rsidRDefault="00BD72F9" w:rsidP="00BD72F9">
      <w:pPr>
        <w:pStyle w:val="Listenabsatz"/>
        <w:numPr>
          <w:ilvl w:val="2"/>
          <w:numId w:val="1"/>
        </w:numPr>
      </w:pPr>
      <w:r>
        <w:t>Korrekte Verwendung von Orthografie und Grammatik (je nach Kenntnisstand)</w:t>
      </w:r>
    </w:p>
    <w:p w:rsidR="00BD72F9" w:rsidRPr="006C7BD6" w:rsidRDefault="00BD72F9" w:rsidP="00BD72F9">
      <w:pPr>
        <w:pStyle w:val="Listenabsatz"/>
        <w:numPr>
          <w:ilvl w:val="0"/>
          <w:numId w:val="1"/>
        </w:numPr>
        <w:rPr>
          <w:b/>
        </w:rPr>
      </w:pPr>
      <w:r w:rsidRPr="006C7BD6">
        <w:rPr>
          <w:b/>
        </w:rPr>
        <w:t xml:space="preserve">Prozentuale Verteilung </w:t>
      </w:r>
    </w:p>
    <w:p w:rsidR="00BD72F9" w:rsidRPr="006C7BD6" w:rsidRDefault="00BD72F9" w:rsidP="00BD72F9">
      <w:pPr>
        <w:pStyle w:val="Listenabsatz"/>
        <w:numPr>
          <w:ilvl w:val="1"/>
          <w:numId w:val="1"/>
        </w:numPr>
        <w:rPr>
          <w:b/>
        </w:rPr>
      </w:pPr>
      <w:r w:rsidRPr="006C7BD6">
        <w:rPr>
          <w:b/>
        </w:rPr>
        <w:t>Inhalt</w:t>
      </w:r>
      <w:r w:rsidR="00ED1A47" w:rsidRPr="006C7BD6">
        <w:rPr>
          <w:b/>
        </w:rPr>
        <w:t xml:space="preserve"> 5</w:t>
      </w:r>
      <w:r w:rsidR="00991DC1" w:rsidRPr="006C7BD6">
        <w:rPr>
          <w:b/>
        </w:rPr>
        <w:t>0% (bei Inhalt mangelhaft wird die Arbeit mit mangelhaft gewertet)</w:t>
      </w:r>
    </w:p>
    <w:p w:rsidR="00BD72F9" w:rsidRPr="006C7BD6" w:rsidRDefault="00BD72F9" w:rsidP="00BD72F9">
      <w:pPr>
        <w:pStyle w:val="Listenabsatz"/>
        <w:numPr>
          <w:ilvl w:val="1"/>
          <w:numId w:val="1"/>
        </w:numPr>
        <w:rPr>
          <w:b/>
        </w:rPr>
      </w:pPr>
      <w:r w:rsidRPr="006C7BD6">
        <w:rPr>
          <w:b/>
        </w:rPr>
        <w:t>Sprache</w:t>
      </w:r>
      <w:r w:rsidR="000911C4" w:rsidRPr="006C7BD6">
        <w:rPr>
          <w:b/>
        </w:rPr>
        <w:t xml:space="preserve"> 4</w:t>
      </w:r>
      <w:r w:rsidR="00991DC1" w:rsidRPr="006C7BD6">
        <w:rPr>
          <w:b/>
        </w:rPr>
        <w:t>0%</w:t>
      </w:r>
    </w:p>
    <w:p w:rsidR="00BD72F9" w:rsidRPr="006C7BD6" w:rsidRDefault="00BD72F9" w:rsidP="000911C4">
      <w:pPr>
        <w:pStyle w:val="Listenabsatz"/>
        <w:numPr>
          <w:ilvl w:val="1"/>
          <w:numId w:val="1"/>
        </w:numPr>
        <w:rPr>
          <w:b/>
        </w:rPr>
      </w:pPr>
      <w:r w:rsidRPr="006C7BD6">
        <w:rPr>
          <w:b/>
        </w:rPr>
        <w:t>RS</w:t>
      </w:r>
      <w:r w:rsidR="000911C4" w:rsidRPr="006C7BD6">
        <w:rPr>
          <w:b/>
        </w:rPr>
        <w:t xml:space="preserve"> + </w:t>
      </w:r>
      <w:r w:rsidRPr="006C7BD6">
        <w:rPr>
          <w:b/>
        </w:rPr>
        <w:t>Form (Handschrift und Struktur)</w:t>
      </w:r>
      <w:r w:rsidR="00991DC1" w:rsidRPr="006C7BD6">
        <w:rPr>
          <w:b/>
        </w:rPr>
        <w:t xml:space="preserve"> 10%</w:t>
      </w:r>
    </w:p>
    <w:p w:rsidR="00BD72F9" w:rsidRDefault="00BD72F9" w:rsidP="00BD72F9">
      <w:pPr>
        <w:pStyle w:val="Listenabsatz"/>
        <w:numPr>
          <w:ilvl w:val="0"/>
          <w:numId w:val="1"/>
        </w:numPr>
      </w:pPr>
      <w:r>
        <w:t>Transparenz der Bewertungskriterien (Bewertungsbogen)</w:t>
      </w:r>
    </w:p>
    <w:p w:rsidR="00D42C7A" w:rsidRDefault="00D42C7A" w:rsidP="00BD72F9">
      <w:pPr>
        <w:pStyle w:val="Listenabsatz"/>
        <w:numPr>
          <w:ilvl w:val="0"/>
          <w:numId w:val="1"/>
        </w:numPr>
      </w:pPr>
      <w:r>
        <w:t>Schriftliche Leistungen müssen in der Schule erbracht werden, wenn sie in die schriftliche Note eingehen sollen.</w:t>
      </w:r>
    </w:p>
    <w:p w:rsidR="00D42C7A" w:rsidRDefault="00D42C7A" w:rsidP="00BD72F9">
      <w:pPr>
        <w:pStyle w:val="Listenabsatz"/>
        <w:numPr>
          <w:ilvl w:val="0"/>
          <w:numId w:val="1"/>
        </w:numPr>
      </w:pPr>
      <w:r>
        <w:t>Bei vier schriftlichen Lernkontrollen ist keine Ersatzleistung möglich.</w:t>
      </w:r>
    </w:p>
    <w:p w:rsidR="00D42C7A" w:rsidRDefault="00D42C7A" w:rsidP="00BD72F9">
      <w:pPr>
        <w:pStyle w:val="Listenabsatz"/>
        <w:numPr>
          <w:ilvl w:val="0"/>
          <w:numId w:val="1"/>
        </w:numPr>
      </w:pPr>
      <w:r>
        <w:t>Rechtschreibleistungen sind in kombinierten Arbeiten zu überprüfen, die alle Anforderungsbereiche berücksichtigen. Reine Diktate sind nicht zulässig.</w:t>
      </w:r>
    </w:p>
    <w:p w:rsidR="00D42C7A" w:rsidRDefault="00D42C7A" w:rsidP="00D42C7A">
      <w:pPr>
        <w:pStyle w:val="Listenabsatz"/>
        <w:numPr>
          <w:ilvl w:val="1"/>
          <w:numId w:val="1"/>
        </w:numPr>
      </w:pPr>
      <w:r>
        <w:t>Z.B. orthografische Regel nennen (AFB I)</w:t>
      </w:r>
    </w:p>
    <w:p w:rsidR="00D42C7A" w:rsidRDefault="00D42C7A" w:rsidP="00D42C7A">
      <w:pPr>
        <w:pStyle w:val="Listenabsatz"/>
        <w:numPr>
          <w:ilvl w:val="1"/>
          <w:numId w:val="1"/>
        </w:numPr>
      </w:pPr>
      <w:r>
        <w:t>Texte abschreiben (I) und nach Ansage schreiben (II+)</w:t>
      </w:r>
    </w:p>
    <w:p w:rsidR="00D42C7A" w:rsidRDefault="00D42C7A" w:rsidP="00D42C7A">
      <w:pPr>
        <w:pStyle w:val="Listenabsatz"/>
        <w:numPr>
          <w:ilvl w:val="1"/>
          <w:numId w:val="1"/>
        </w:numPr>
      </w:pPr>
      <w:r>
        <w:t>Fremde Texte kontrollieren und korrigieren (II)</w:t>
      </w:r>
    </w:p>
    <w:p w:rsidR="00D42C7A" w:rsidRDefault="00D42C7A" w:rsidP="00D42C7A">
      <w:pPr>
        <w:pStyle w:val="Listenabsatz"/>
        <w:numPr>
          <w:ilvl w:val="1"/>
          <w:numId w:val="1"/>
        </w:numPr>
      </w:pPr>
      <w:r>
        <w:t>Eigene Texte kontrollieren und korrigieren (II/III)</w:t>
      </w:r>
    </w:p>
    <w:p w:rsidR="00D42C7A" w:rsidRDefault="00D42C7A" w:rsidP="00D42C7A">
      <w:pPr>
        <w:pStyle w:val="Listenabsatz"/>
        <w:numPr>
          <w:ilvl w:val="1"/>
          <w:numId w:val="1"/>
        </w:numPr>
      </w:pPr>
      <w:r>
        <w:t>RS-Hilfen nutzen (I/II)</w:t>
      </w:r>
    </w:p>
    <w:p w:rsidR="00BD72F9" w:rsidRDefault="00BD72F9" w:rsidP="00BD72F9">
      <w:pPr>
        <w:pStyle w:val="Listenabsatz"/>
      </w:pPr>
    </w:p>
    <w:p w:rsidR="00434951" w:rsidRDefault="005F3BC4" w:rsidP="006C7BD6">
      <w:pPr>
        <w:pStyle w:val="Listenabsatz"/>
      </w:pPr>
      <w:r>
        <w:rPr>
          <w:b/>
        </w:rPr>
        <w:t xml:space="preserve">Beschluss der </w:t>
      </w:r>
      <w:r w:rsidR="00D42C7A" w:rsidRPr="00447D0B">
        <w:rPr>
          <w:b/>
        </w:rPr>
        <w:t>FK am 15.4.2015/GOL</w:t>
      </w:r>
    </w:p>
    <w:sectPr w:rsidR="00434951" w:rsidSect="000853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F2EF5"/>
    <w:multiLevelType w:val="hybridMultilevel"/>
    <w:tmpl w:val="18A869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51"/>
    <w:rsid w:val="000003B7"/>
    <w:rsid w:val="00085331"/>
    <w:rsid w:val="000911C4"/>
    <w:rsid w:val="000E53DF"/>
    <w:rsid w:val="001B4AF7"/>
    <w:rsid w:val="00255DCD"/>
    <w:rsid w:val="00373B9B"/>
    <w:rsid w:val="00385768"/>
    <w:rsid w:val="00434951"/>
    <w:rsid w:val="00447D0B"/>
    <w:rsid w:val="00453FB8"/>
    <w:rsid w:val="005D191B"/>
    <w:rsid w:val="005F3BC4"/>
    <w:rsid w:val="00684590"/>
    <w:rsid w:val="006866E8"/>
    <w:rsid w:val="006C7BD6"/>
    <w:rsid w:val="00716B3D"/>
    <w:rsid w:val="007B348B"/>
    <w:rsid w:val="008342E7"/>
    <w:rsid w:val="00991DC1"/>
    <w:rsid w:val="00A37FB7"/>
    <w:rsid w:val="00AF7DF5"/>
    <w:rsid w:val="00BA0566"/>
    <w:rsid w:val="00BC2E17"/>
    <w:rsid w:val="00BD72F9"/>
    <w:rsid w:val="00C203EC"/>
    <w:rsid w:val="00CC33BF"/>
    <w:rsid w:val="00D42C7A"/>
    <w:rsid w:val="00D67FF2"/>
    <w:rsid w:val="00DC7C51"/>
    <w:rsid w:val="00ED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533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349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349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4349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3495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434951"/>
    <w:pPr>
      <w:ind w:left="720"/>
      <w:contextualSpacing/>
    </w:pPr>
  </w:style>
  <w:style w:type="table" w:styleId="Tabellengitternetz">
    <w:name w:val="Tabellengitternetz"/>
    <w:basedOn w:val="NormaleTabelle"/>
    <w:uiPriority w:val="59"/>
    <w:rsid w:val="0043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533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349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349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4349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3495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434951"/>
    <w:pPr>
      <w:ind w:left="720"/>
      <w:contextualSpacing/>
    </w:pPr>
  </w:style>
  <w:style w:type="table" w:styleId="Tabellengitternetz">
    <w:name w:val="Tabellengitternetz"/>
    <w:basedOn w:val="NormaleTabelle"/>
    <w:uiPriority w:val="59"/>
    <w:rsid w:val="0043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Micha</cp:lastModifiedBy>
  <cp:revision>4</cp:revision>
  <cp:lastPrinted>2015-04-26T10:39:00Z</cp:lastPrinted>
  <dcterms:created xsi:type="dcterms:W3CDTF">2015-04-26T13:43:00Z</dcterms:created>
  <dcterms:modified xsi:type="dcterms:W3CDTF">2015-04-26T13:48:00Z</dcterms:modified>
</cp:coreProperties>
</file>