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87" w:rsidRDefault="000A0287">
      <w:pPr>
        <w:spacing w:before="0" w:beforeAutospacing="0"/>
        <w:rPr>
          <w:rFonts w:ascii="Arial" w:hAnsi="Arial" w:cs="Arial"/>
        </w:rPr>
      </w:pPr>
    </w:p>
    <w:p w:rsidR="000A0287" w:rsidRDefault="000A0287">
      <w:pPr>
        <w:spacing w:before="0" w:beforeAutospacing="0"/>
        <w:rPr>
          <w:rFonts w:ascii="Arial" w:hAnsi="Arial" w:cs="Arial"/>
        </w:rPr>
      </w:pPr>
    </w:p>
    <w:p w:rsidR="000A0287" w:rsidRDefault="000A0287">
      <w:pPr>
        <w:pStyle w:val="Fuzeile"/>
        <w:spacing w:beforeAutospacing="0"/>
        <w:rPr>
          <w:rFonts w:ascii="Arial" w:hAnsi="Arial" w:cs="Arial"/>
          <w:b/>
          <w:sz w:val="17"/>
          <w:szCs w:val="17"/>
        </w:rPr>
      </w:pPr>
    </w:p>
    <w:p w:rsidR="000A0287" w:rsidRDefault="000A0287">
      <w:pPr>
        <w:pStyle w:val="Fuzeile"/>
        <w:spacing w:beforeAutospacing="0"/>
        <w:rPr>
          <w:rFonts w:ascii="Arial" w:hAnsi="Arial" w:cs="Arial"/>
          <w:b/>
          <w:sz w:val="17"/>
          <w:szCs w:val="17"/>
        </w:rPr>
      </w:pPr>
    </w:p>
    <w:p w:rsidR="000A0287" w:rsidRDefault="00161B73">
      <w:pPr>
        <w:pStyle w:val="Fuzeile"/>
        <w:spacing w:before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Kooperative Gesamtschule </w:t>
      </w:r>
      <w:proofErr w:type="spellStart"/>
      <w:r>
        <w:rPr>
          <w:rFonts w:ascii="Arial" w:hAnsi="Arial" w:cs="Arial"/>
          <w:b/>
          <w:sz w:val="20"/>
          <w:szCs w:val="20"/>
        </w:rPr>
        <w:t>Sehnde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| Am </w:t>
      </w:r>
      <w:proofErr w:type="spellStart"/>
      <w:r>
        <w:rPr>
          <w:rFonts w:ascii="Arial" w:hAnsi="Arial" w:cs="Arial"/>
          <w:b/>
          <w:sz w:val="20"/>
          <w:szCs w:val="20"/>
        </w:rPr>
        <w:t>Papenholz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 | 31319 </w:t>
      </w:r>
      <w:proofErr w:type="spellStart"/>
      <w:r>
        <w:rPr>
          <w:rFonts w:ascii="Arial" w:hAnsi="Arial" w:cs="Arial"/>
          <w:b/>
          <w:sz w:val="20"/>
          <w:szCs w:val="20"/>
        </w:rPr>
        <w:t>Sehnde</w:t>
      </w:r>
      <w:proofErr w:type="spellEnd"/>
    </w:p>
    <w:p w:rsidR="000A0287" w:rsidRDefault="000A0287">
      <w:pPr>
        <w:spacing w:before="0" w:beforeAutospacing="0"/>
        <w:rPr>
          <w:rFonts w:ascii="Arial" w:hAnsi="Arial" w:cs="Arial"/>
        </w:rPr>
      </w:pPr>
    </w:p>
    <w:p w:rsidR="000A0287" w:rsidRDefault="00161B7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Sehnde</w:t>
      </w:r>
      <w:proofErr w:type="spellEnd"/>
      <w:r>
        <w:rPr>
          <w:rFonts w:ascii="Arial" w:hAnsi="Arial" w:cs="Arial"/>
          <w:sz w:val="24"/>
          <w:szCs w:val="24"/>
        </w:rPr>
        <w:t>,  26.04.2017</w:t>
      </w: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 Mitglieder</w:t>
      </w: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Fachbereichskonferenz </w:t>
      </w: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Arbeit/Wirtschaft/Technik</w:t>
      </w:r>
    </w:p>
    <w:p w:rsidR="000A0287" w:rsidRDefault="000A0287">
      <w:pPr>
        <w:spacing w:before="0" w:beforeAutospacing="0"/>
        <w:rPr>
          <w:rFonts w:ascii="Arial" w:hAnsi="Arial" w:cs="Arial"/>
        </w:rPr>
      </w:pPr>
    </w:p>
    <w:p w:rsidR="000A0287" w:rsidRDefault="00161B73">
      <w:pPr>
        <w:spacing w:before="0" w:before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 der Fachbereichskonferenz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Arbeit/Wirtschaft/Technik vom 26.04.2017</w:t>
      </w:r>
    </w:p>
    <w:p w:rsidR="000A0287" w:rsidRDefault="000A0287">
      <w:pPr>
        <w:spacing w:before="0" w:beforeAutospacing="0"/>
        <w:rPr>
          <w:rFonts w:ascii="Arial" w:hAnsi="Arial" w:cs="Arial"/>
        </w:rPr>
      </w:pPr>
    </w:p>
    <w:p w:rsidR="000A0287" w:rsidRDefault="00161B73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Raum A 1.1</w:t>
      </w:r>
    </w:p>
    <w:p w:rsidR="000A0287" w:rsidRDefault="00161B73">
      <w:pPr>
        <w:rPr>
          <w:rFonts w:ascii="Arial" w:hAnsi="Arial" w:cs="Arial"/>
        </w:rPr>
      </w:pPr>
      <w:r>
        <w:rPr>
          <w:rFonts w:ascii="Arial" w:hAnsi="Arial" w:cs="Arial"/>
          <w:b/>
        </w:rPr>
        <w:t>Beginn:</w:t>
      </w:r>
      <w:r w:rsidR="00B25AD1">
        <w:rPr>
          <w:rFonts w:ascii="Arial" w:hAnsi="Arial" w:cs="Arial"/>
        </w:rPr>
        <w:t xml:space="preserve"> 16:30 Uhr, Ende 17.30 Uhr</w:t>
      </w:r>
    </w:p>
    <w:p w:rsidR="000A0287" w:rsidRDefault="00161B73">
      <w:pPr>
        <w:rPr>
          <w:rFonts w:ascii="Arial" w:hAnsi="Arial" w:cs="Arial"/>
        </w:rPr>
      </w:pPr>
      <w:r>
        <w:rPr>
          <w:rFonts w:ascii="Arial" w:hAnsi="Arial" w:cs="Arial"/>
          <w:b/>
        </w:rPr>
        <w:t>Teilnehmer:</w:t>
      </w:r>
      <w:r>
        <w:rPr>
          <w:rFonts w:ascii="Arial" w:hAnsi="Arial" w:cs="Arial"/>
        </w:rPr>
        <w:t xml:space="preserve"> siehe Anwesenheitsliste</w:t>
      </w:r>
    </w:p>
    <w:p w:rsidR="000A0287" w:rsidRDefault="000A0287">
      <w:pPr>
        <w:spacing w:before="0" w:beforeAutospacing="0"/>
        <w:rPr>
          <w:rFonts w:ascii="Arial" w:hAnsi="Arial" w:cs="Arial"/>
          <w:sz w:val="24"/>
          <w:szCs w:val="24"/>
        </w:rPr>
      </w:pPr>
    </w:p>
    <w:p w:rsidR="000A0287" w:rsidRDefault="000A0287">
      <w:pPr>
        <w:spacing w:before="0" w:beforeAutospacing="0"/>
        <w:rPr>
          <w:rFonts w:ascii="Arial" w:hAnsi="Arial" w:cs="Arial"/>
          <w:sz w:val="24"/>
          <w:szCs w:val="24"/>
        </w:rPr>
      </w:pP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Tagesordnung:</w:t>
      </w:r>
    </w:p>
    <w:p w:rsidR="000A0287" w:rsidRDefault="000A0287">
      <w:pPr>
        <w:spacing w:before="0" w:beforeAutospacing="0"/>
        <w:rPr>
          <w:rFonts w:ascii="Arial" w:hAnsi="Arial" w:cs="Arial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A0287" w:rsidRPr="006F2224" w:rsidTr="006F2224">
        <w:tc>
          <w:tcPr>
            <w:tcW w:w="9709" w:type="dxa"/>
          </w:tcPr>
          <w:p w:rsidR="000A0287" w:rsidRPr="006F2224" w:rsidRDefault="00161B73" w:rsidP="000F3B12">
            <w:pPr>
              <w:pStyle w:val="Kopfzeile"/>
              <w:tabs>
                <w:tab w:val="clear" w:pos="4536"/>
                <w:tab w:val="clear" w:pos="9072"/>
              </w:tabs>
              <w:spacing w:before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F222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0A0287" w:rsidRPr="006F2224" w:rsidTr="006F2224">
        <w:tc>
          <w:tcPr>
            <w:tcW w:w="9709" w:type="dxa"/>
          </w:tcPr>
          <w:p w:rsidR="000A0287" w:rsidRPr="00C40C75" w:rsidRDefault="00161B73" w:rsidP="00C40C75">
            <w:pPr>
              <w:spacing w:before="0" w:before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F2224">
              <w:rPr>
                <w:rFonts w:ascii="Arial" w:hAnsi="Arial" w:cs="Arial"/>
                <w:b/>
                <w:sz w:val="24"/>
                <w:szCs w:val="24"/>
              </w:rPr>
              <w:t xml:space="preserve">Top 1: Begrüßung, Regularien, Genehmigung des Protokolls der letzten </w:t>
            </w:r>
            <w:proofErr w:type="spellStart"/>
            <w:r w:rsidRPr="006F2224">
              <w:rPr>
                <w:rFonts w:ascii="Arial" w:hAnsi="Arial" w:cs="Arial"/>
                <w:b/>
                <w:sz w:val="24"/>
                <w:szCs w:val="24"/>
              </w:rPr>
              <w:t>FK</w:t>
            </w:r>
            <w:r w:rsidRPr="006F2224">
              <w:rPr>
                <w:rFonts w:ascii="Arial" w:hAnsi="Arial" w:cs="Arial"/>
                <w:sz w:val="24"/>
                <w:szCs w:val="24"/>
              </w:rPr>
              <w:t>Herr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Glameyer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 begrüßt die anwesenden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KollegInnen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A0287" w:rsidRPr="006F2224" w:rsidRDefault="00161B73">
            <w:pPr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>Die Ladung fand fristgerecht statt. Es sind Änderungswünsche zur Tagesordnung von GLA angeführt worden. Das Modul “Arbeitspläne PU “Gesundheit und Soziales; Streitschlichter“ wird einstimmig als Top 5 eingefügt. Das Protokoll der letzten FK wird angenommen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0A0287" w:rsidRPr="006F2224" w:rsidRDefault="000A0287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287" w:rsidRPr="006F2224" w:rsidTr="006F2224">
        <w:tc>
          <w:tcPr>
            <w:tcW w:w="9709" w:type="dxa"/>
          </w:tcPr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F2224">
              <w:rPr>
                <w:rFonts w:ascii="Arial" w:hAnsi="Arial" w:cs="Arial"/>
                <w:b/>
                <w:sz w:val="24"/>
                <w:szCs w:val="24"/>
              </w:rPr>
              <w:t>Top 2: Bericht des FBL</w:t>
            </w: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 xml:space="preserve">Der Kostenvoranschlag für die Reorganisation und die Werkzeuge des Technikraums 33 in Höhe von 5.867,08 EUR ist bisher noch nicht von der Stadt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Sehnde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 genehmigt worden. Die Restarbeiten sollen in den Sommerferien durchgeführt w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erden.  </w:t>
            </w:r>
          </w:p>
          <w:p w:rsidR="000A0287" w:rsidRPr="006F2224" w:rsidRDefault="000A0287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  <w:p w:rsidR="000A0287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>Im Raum A0.4 besteht gemäß APP die Notwendigkeit, 14 neue Clients anzuschaffen. Der in diesem Raum verortete 3D-Drucker wird bereits verwendet. Die FK bittet um die Einbeziehung des Fachraumes A0.4 in den Medienentwicklungsplan zwecks fortwährend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er Erhaltung aktueller Clients. </w:t>
            </w:r>
          </w:p>
          <w:p w:rsidR="006F2224" w:rsidRPr="006F2224" w:rsidRDefault="006F2224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287" w:rsidRPr="006F2224" w:rsidTr="006F2224">
        <w:tc>
          <w:tcPr>
            <w:tcW w:w="9709" w:type="dxa"/>
          </w:tcPr>
          <w:p w:rsidR="006F2224" w:rsidRDefault="00161B73">
            <w:pPr>
              <w:spacing w:before="0" w:before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F2224">
              <w:rPr>
                <w:rFonts w:ascii="Arial" w:hAnsi="Arial" w:cs="Arial"/>
                <w:b/>
                <w:sz w:val="24"/>
                <w:szCs w:val="24"/>
              </w:rPr>
              <w:t xml:space="preserve">Top 3: Etat: </w:t>
            </w: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>Anschaffungen und Wünsche werden entgegen genommen.</w:t>
            </w:r>
            <w:r w:rsidRPr="006F22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A0287" w:rsidRPr="006F2224" w:rsidRDefault="006F2224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 xml:space="preserve">GLA 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Pr="006F2224">
              <w:rPr>
                <w:rFonts w:ascii="Arial" w:hAnsi="Arial" w:cs="Arial"/>
                <w:sz w:val="24"/>
                <w:szCs w:val="24"/>
              </w:rPr>
              <w:t>stellt eine Bedarfsübersicht der einzelnen Teilfächer.</w:t>
            </w:r>
          </w:p>
          <w:p w:rsidR="000A0287" w:rsidRPr="006F2224" w:rsidRDefault="000A0287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  <w:p w:rsidR="000A0287" w:rsidRPr="006F2224" w:rsidRDefault="000A0287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287" w:rsidRPr="006F2224" w:rsidTr="006F2224">
        <w:tc>
          <w:tcPr>
            <w:tcW w:w="9709" w:type="dxa"/>
          </w:tcPr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F2224">
              <w:rPr>
                <w:rFonts w:ascii="Arial" w:hAnsi="Arial" w:cs="Arial"/>
                <w:b/>
                <w:sz w:val="24"/>
                <w:szCs w:val="24"/>
              </w:rPr>
              <w:lastRenderedPageBreak/>
              <w:t>Top 4: Berichte aus den Teilfächern WI/TE/HW</w:t>
            </w: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>Wirtschaft alle 9K-Klassen und 4</w:t>
            </w:r>
            <w:r w:rsidR="006F2224" w:rsidRPr="006F2224">
              <w:rPr>
                <w:rFonts w:ascii="Arial" w:hAnsi="Arial" w:cs="Arial"/>
                <w:sz w:val="24"/>
                <w:szCs w:val="24"/>
              </w:rPr>
              <w:t xml:space="preserve"> EP-Klassen besuchen am 9. und 10. Mai die „</w:t>
            </w:r>
            <w:proofErr w:type="spellStart"/>
            <w:r w:rsidR="006F2224" w:rsidRPr="006F2224">
              <w:rPr>
                <w:rFonts w:ascii="Arial" w:hAnsi="Arial" w:cs="Arial"/>
                <w:sz w:val="24"/>
                <w:szCs w:val="24"/>
              </w:rPr>
              <w:t>Vocatium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>-Messe“ zur Berufsvorbereitung.</w:t>
            </w: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 xml:space="preserve">Es besteht beim Schreiben von Bewerbungen gemäß GLA noch Optimierungsbedarf bei den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F2224" w:rsidRPr="006F2224" w:rsidRDefault="006F2224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>Im Fachbereich Hauswirtschaft wird die Küche sehr intensiv genutzt. MER erteilt zu</w:t>
            </w:r>
            <w:r w:rsidRPr="006F2224">
              <w:rPr>
                <w:rFonts w:ascii="Arial" w:hAnsi="Arial" w:cs="Arial"/>
                <w:sz w:val="24"/>
                <w:szCs w:val="24"/>
              </w:rPr>
              <w:t>dem häufig Einweisungen. Das Benutzerbuch wird nicht konsequent geführt. Daher werden die Hausmeister durch die SL aufgefordert</w:t>
            </w:r>
            <w:r w:rsidR="006F2224" w:rsidRPr="006F2224">
              <w:rPr>
                <w:rFonts w:ascii="Arial" w:hAnsi="Arial" w:cs="Arial"/>
                <w:sz w:val="24"/>
                <w:szCs w:val="24"/>
              </w:rPr>
              <w:t>,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 ausschließlich die Küchenschlüssel an Lehrkräfte auszuhändigen, die eine entsprechende Einweisung erhalten habe. Eine digitale L</w:t>
            </w:r>
            <w:r w:rsidRPr="006F2224">
              <w:rPr>
                <w:rFonts w:ascii="Arial" w:hAnsi="Arial" w:cs="Arial"/>
                <w:sz w:val="24"/>
                <w:szCs w:val="24"/>
              </w:rPr>
              <w:t>iste wird als sinnvoll diskutiert. MER plädiert zudem</w:t>
            </w:r>
            <w:r w:rsidR="006F2224" w:rsidRPr="006F2224">
              <w:rPr>
                <w:rFonts w:ascii="Arial" w:hAnsi="Arial" w:cs="Arial"/>
                <w:sz w:val="24"/>
                <w:szCs w:val="24"/>
              </w:rPr>
              <w:t xml:space="preserve"> aus Gründen der Arbeitssicherheit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 für eine Reduzierung der Kursgröße</w:t>
            </w:r>
            <w:r w:rsidR="006F2224" w:rsidRPr="006F2224">
              <w:rPr>
                <w:rFonts w:ascii="Arial" w:hAnsi="Arial" w:cs="Arial"/>
                <w:sz w:val="24"/>
                <w:szCs w:val="24"/>
              </w:rPr>
              <w:t xml:space="preserve"> von PUs, die die Küchen nutzen, auf 16 Teilnehmer.</w:t>
            </w:r>
          </w:p>
          <w:p w:rsidR="006F2224" w:rsidRPr="006F2224" w:rsidRDefault="006F2224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 xml:space="preserve">Der Fachbereich missbilligt ausdrücklich, dass die Küche von mehr als 16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 genutzt wird aufgrund sicherheitstechnischer Bedenken; auc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h in Hinblick auf die anstehende Projektwoche. </w:t>
            </w:r>
          </w:p>
          <w:p w:rsidR="006F2224" w:rsidRPr="006F2224" w:rsidRDefault="006F2224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 xml:space="preserve">JOB berichtet von der Teilnahme des Mechatronik-Kurses 9 an der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-Challenge auf der Ideen-Expo in Hannover. JOB bittet um Kapital zur Unterstützung des Projektes (u. a.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Ersatzakkus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>/Ersatzreifen/T-Shirts)  f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ür die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>-Challenge.</w:t>
            </w:r>
          </w:p>
          <w:p w:rsidR="006F2224" w:rsidRPr="006F2224" w:rsidRDefault="006F2224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 xml:space="preserve">FRO/JÜR berichten, dass der Genossenschaftsverband die Buchführung des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Schülercafes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 professionell prüfen wird. Das Schülercafe hat landesweit eine Alleinstellung inne, da es jeden Schultag geöffnet hat. Zudem werden große Caterings vo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n bis zu 2.000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TeilnehmerInnen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 realisiert. Die </w:t>
            </w:r>
            <w:proofErr w:type="spellStart"/>
            <w:r w:rsidRPr="006F2224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6F2224">
              <w:rPr>
                <w:rFonts w:ascii="Arial" w:hAnsi="Arial" w:cs="Arial"/>
                <w:sz w:val="24"/>
                <w:szCs w:val="24"/>
              </w:rPr>
              <w:t xml:space="preserve"> bieten freiwillig teilweise auch an den Wochenenden ihre Unterstützung an, um derartig große Events zu gestalten.</w:t>
            </w:r>
          </w:p>
          <w:p w:rsidR="006F2224" w:rsidRPr="006F2224" w:rsidRDefault="006F2224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>WSS berichtet, dass die Sanitäter zukünftig ohne externe Hilfe die Lehrerausbildung durchfü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hren können. </w:t>
            </w: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0287" w:rsidRPr="006F2224" w:rsidTr="006F2224">
        <w:tc>
          <w:tcPr>
            <w:tcW w:w="9709" w:type="dxa"/>
          </w:tcPr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F2224">
              <w:rPr>
                <w:rFonts w:ascii="Arial" w:hAnsi="Arial" w:cs="Arial"/>
                <w:b/>
                <w:sz w:val="24"/>
                <w:szCs w:val="24"/>
              </w:rPr>
              <w:t>Top 5: Arbeitspläne PU „Gesundheit und Soziales; Modul Streitschlichter“</w:t>
            </w:r>
          </w:p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  <w:r w:rsidRPr="006F2224">
              <w:rPr>
                <w:rFonts w:ascii="Arial" w:hAnsi="Arial" w:cs="Arial"/>
                <w:sz w:val="24"/>
                <w:szCs w:val="24"/>
              </w:rPr>
              <w:t xml:space="preserve">Vier Halbjahre werden vom Curriculum vorgegeben und finden mit je 4 Wochenstunden und mit unterschiedlichen Schwerpunkten statt. Der Arbeitsplan </w:t>
            </w:r>
            <w:r w:rsidR="006F2224" w:rsidRPr="006F2224">
              <w:rPr>
                <w:rFonts w:ascii="Arial" w:hAnsi="Arial" w:cs="Arial"/>
                <w:sz w:val="24"/>
                <w:szCs w:val="24"/>
              </w:rPr>
              <w:t xml:space="preserve">zum Teilbereich „Streitschlichter“ </w:t>
            </w:r>
            <w:r w:rsidRPr="006F2224">
              <w:rPr>
                <w:rFonts w:ascii="Arial" w:hAnsi="Arial" w:cs="Arial"/>
                <w:sz w:val="24"/>
                <w:szCs w:val="24"/>
              </w:rPr>
              <w:t>wird einstimmig verab</w:t>
            </w:r>
            <w:r w:rsidRPr="006F2224">
              <w:rPr>
                <w:rFonts w:ascii="Arial" w:hAnsi="Arial" w:cs="Arial"/>
                <w:sz w:val="24"/>
                <w:szCs w:val="24"/>
              </w:rPr>
              <w:t xml:space="preserve">schiedet. </w:t>
            </w:r>
          </w:p>
          <w:p w:rsidR="000A0287" w:rsidRPr="006F2224" w:rsidRDefault="000A0287">
            <w:pP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287" w:rsidRPr="006F2224" w:rsidTr="006F2224">
        <w:tc>
          <w:tcPr>
            <w:tcW w:w="9709" w:type="dxa"/>
          </w:tcPr>
          <w:p w:rsidR="000A0287" w:rsidRPr="006F2224" w:rsidRDefault="00161B73">
            <w:pPr>
              <w:spacing w:before="0" w:before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F2224">
              <w:rPr>
                <w:rFonts w:ascii="Arial" w:hAnsi="Arial" w:cs="Arial"/>
                <w:b/>
                <w:sz w:val="24"/>
                <w:szCs w:val="24"/>
              </w:rPr>
              <w:t>Top 6: Verschiedenes</w:t>
            </w:r>
          </w:p>
        </w:tc>
      </w:tr>
    </w:tbl>
    <w:p w:rsidR="000A0287" w:rsidRDefault="000A0287">
      <w:pPr>
        <w:spacing w:before="0" w:beforeAutospacing="0"/>
        <w:rPr>
          <w:rFonts w:ascii="Arial" w:hAnsi="Arial" w:cs="Arial"/>
          <w:sz w:val="24"/>
          <w:szCs w:val="24"/>
        </w:rPr>
      </w:pP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Protokollführung</w:t>
      </w:r>
    </w:p>
    <w:p w:rsidR="000A0287" w:rsidRDefault="000A0287">
      <w:pPr>
        <w:spacing w:before="0" w:beforeAutospacing="0"/>
        <w:rPr>
          <w:rFonts w:ascii="Arial" w:hAnsi="Arial" w:cs="Arial"/>
          <w:sz w:val="24"/>
          <w:szCs w:val="24"/>
        </w:rPr>
      </w:pP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Jobst</w:t>
      </w:r>
    </w:p>
    <w:p w:rsidR="000A0287" w:rsidRDefault="000A0287">
      <w:pPr>
        <w:spacing w:before="0" w:beforeAutospacing="0"/>
        <w:rPr>
          <w:rFonts w:ascii="Arial" w:hAnsi="Arial" w:cs="Arial"/>
          <w:sz w:val="24"/>
          <w:szCs w:val="24"/>
        </w:rPr>
      </w:pP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Verteiler:</w:t>
      </w: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Konferenzmitglieder:</w:t>
      </w:r>
      <w:r>
        <w:rPr>
          <w:rFonts w:ascii="Arial" w:hAnsi="Arial" w:cs="Arial"/>
          <w:sz w:val="24"/>
          <w:szCs w:val="24"/>
        </w:rPr>
        <w:t xml:space="preserve"> Herr </w:t>
      </w:r>
      <w:proofErr w:type="spellStart"/>
      <w:r>
        <w:rPr>
          <w:rFonts w:ascii="Arial" w:hAnsi="Arial" w:cs="Arial"/>
          <w:sz w:val="24"/>
          <w:szCs w:val="24"/>
        </w:rPr>
        <w:t>Appun</w:t>
      </w:r>
      <w:proofErr w:type="spellEnd"/>
      <w:r>
        <w:rPr>
          <w:rFonts w:ascii="Arial" w:hAnsi="Arial" w:cs="Arial"/>
          <w:sz w:val="24"/>
          <w:szCs w:val="24"/>
        </w:rPr>
        <w:t xml:space="preserve">, Frau </w:t>
      </w:r>
      <w:proofErr w:type="spellStart"/>
      <w:r>
        <w:rPr>
          <w:rFonts w:ascii="Arial" w:hAnsi="Arial" w:cs="Arial"/>
          <w:sz w:val="24"/>
          <w:szCs w:val="24"/>
        </w:rPr>
        <w:t>Büker</w:t>
      </w:r>
      <w:proofErr w:type="spellEnd"/>
      <w:r>
        <w:rPr>
          <w:rFonts w:ascii="Arial" w:hAnsi="Arial" w:cs="Arial"/>
          <w:sz w:val="24"/>
          <w:szCs w:val="24"/>
        </w:rPr>
        <w:t xml:space="preserve">, Frau Böttcher,  Frau Fernschild, Herr Fröhlich, Frau </w:t>
      </w:r>
      <w:proofErr w:type="spellStart"/>
      <w:r>
        <w:rPr>
          <w:rFonts w:ascii="Arial" w:hAnsi="Arial" w:cs="Arial"/>
          <w:sz w:val="24"/>
          <w:szCs w:val="24"/>
        </w:rPr>
        <w:t>Giesken</w:t>
      </w:r>
      <w:proofErr w:type="spellEnd"/>
      <w:r>
        <w:rPr>
          <w:rFonts w:ascii="Arial" w:hAnsi="Arial" w:cs="Arial"/>
          <w:sz w:val="24"/>
          <w:szCs w:val="24"/>
        </w:rPr>
        <w:t xml:space="preserve">, Frau Jäger, Herr Jobst, Herr Jürgen, Herr Jürgens, Frau Meyer, Frau Prahm, Herr Renken, Herr </w:t>
      </w:r>
      <w:proofErr w:type="spellStart"/>
      <w:r>
        <w:rPr>
          <w:rFonts w:ascii="Arial" w:hAnsi="Arial" w:cs="Arial"/>
          <w:sz w:val="24"/>
          <w:szCs w:val="24"/>
        </w:rPr>
        <w:t>Streilein</w:t>
      </w:r>
      <w:proofErr w:type="spellEnd"/>
      <w:r>
        <w:rPr>
          <w:rFonts w:ascii="Arial" w:hAnsi="Arial" w:cs="Arial"/>
          <w:sz w:val="24"/>
          <w:szCs w:val="24"/>
        </w:rPr>
        <w:t xml:space="preserve">,  Frau </w:t>
      </w:r>
      <w:proofErr w:type="spellStart"/>
      <w:r>
        <w:rPr>
          <w:rFonts w:ascii="Arial" w:hAnsi="Arial" w:cs="Arial"/>
          <w:sz w:val="24"/>
          <w:szCs w:val="24"/>
        </w:rPr>
        <w:t>Weiss</w:t>
      </w:r>
      <w:proofErr w:type="spellEnd"/>
      <w:r>
        <w:rPr>
          <w:rFonts w:ascii="Arial" w:hAnsi="Arial" w:cs="Arial"/>
          <w:sz w:val="24"/>
          <w:szCs w:val="24"/>
        </w:rPr>
        <w:t>, Frau Petersen</w:t>
      </w:r>
      <w:bookmarkStart w:id="0" w:name="_GoBack"/>
      <w:bookmarkEnd w:id="0"/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Elternvertreter: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Schülervertreter: </w:t>
      </w:r>
      <w:r>
        <w:rPr>
          <w:rFonts w:ascii="Arial" w:hAnsi="Arial" w:cs="Arial"/>
          <w:sz w:val="24"/>
          <w:szCs w:val="24"/>
        </w:rPr>
        <w:t xml:space="preserve">Marvin </w:t>
      </w:r>
      <w:proofErr w:type="spellStart"/>
      <w:r>
        <w:rPr>
          <w:rFonts w:ascii="Arial" w:hAnsi="Arial" w:cs="Arial"/>
          <w:sz w:val="24"/>
          <w:szCs w:val="24"/>
        </w:rPr>
        <w:t>Högerl</w:t>
      </w:r>
      <w:proofErr w:type="spellEnd"/>
      <w:r w:rsidR="006F2224">
        <w:rPr>
          <w:rFonts w:ascii="Arial" w:hAnsi="Arial" w:cs="Arial"/>
          <w:sz w:val="24"/>
          <w:szCs w:val="24"/>
        </w:rPr>
        <w:t xml:space="preserve">, Bennet </w:t>
      </w:r>
      <w:proofErr w:type="spellStart"/>
      <w:r w:rsidR="006F2224">
        <w:rPr>
          <w:rFonts w:ascii="Arial" w:hAnsi="Arial" w:cs="Arial"/>
          <w:sz w:val="24"/>
          <w:szCs w:val="24"/>
        </w:rPr>
        <w:t>Hüsich</w:t>
      </w:r>
      <w:proofErr w:type="spellEnd"/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Weitere Lehrkräfte zur Information:</w:t>
      </w:r>
      <w:r>
        <w:rPr>
          <w:rFonts w:ascii="Arial" w:hAnsi="Arial" w:cs="Arial"/>
          <w:sz w:val="24"/>
          <w:szCs w:val="24"/>
        </w:rPr>
        <w:t xml:space="preserve"> MIL, HDR, WIT, PTN, LAB</w:t>
      </w:r>
    </w:p>
    <w:p w:rsidR="000A0287" w:rsidRDefault="00161B73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Hausmei</w:t>
      </w:r>
      <w:r>
        <w:rPr>
          <w:rFonts w:ascii="Arial" w:hAnsi="Arial" w:cs="Arial"/>
          <w:sz w:val="24"/>
          <w:szCs w:val="24"/>
        </w:rPr>
        <w:t>ster</w:t>
      </w:r>
    </w:p>
    <w:p w:rsidR="000A0287" w:rsidRDefault="000A0287">
      <w:pPr>
        <w:spacing w:before="0" w:beforeAutospacing="0"/>
        <w:rPr>
          <w:rFonts w:ascii="Arial" w:hAnsi="Arial" w:cs="Arial"/>
          <w:sz w:val="24"/>
          <w:szCs w:val="24"/>
        </w:rPr>
      </w:pPr>
    </w:p>
    <w:sectPr w:rsidR="000A0287" w:rsidSect="000A0287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87" w:rsidRDefault="00161B73">
      <w:pPr>
        <w:spacing w:before="0"/>
      </w:pPr>
      <w:r>
        <w:separator/>
      </w:r>
    </w:p>
  </w:endnote>
  <w:endnote w:type="continuationSeparator" w:id="0">
    <w:p w:rsidR="000A0287" w:rsidRDefault="00161B7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87" w:rsidRDefault="000A0287">
    <w:pPr>
      <w:pStyle w:val="Fuzeile"/>
    </w:pPr>
  </w:p>
  <w:tbl>
    <w:tblPr>
      <w:tblW w:w="9606" w:type="dxa"/>
      <w:tblLook w:val="04A0"/>
    </w:tblPr>
    <w:tblGrid>
      <w:gridCol w:w="4219"/>
      <w:gridCol w:w="5387"/>
    </w:tblGrid>
    <w:tr w:rsidR="000A0287">
      <w:trPr>
        <w:trHeight w:val="869"/>
      </w:trPr>
      <w:tc>
        <w:tcPr>
          <w:tcW w:w="4219" w:type="dxa"/>
          <w:vAlign w:val="center"/>
        </w:tcPr>
        <w:p w:rsidR="000A0287" w:rsidRDefault="00161B73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>
                <wp:extent cx="1164590" cy="405130"/>
                <wp:effectExtent l="19050" t="0" r="0" b="0"/>
                <wp:docPr id="2" name="cc-m-imagesubtitle-image-5270323409" descr="http://u.jimdo.com/www8/o/se72c68781e90821c/img/i1e4162fd65ced56a/1313312565/std/ima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70323409" descr="http://u.jimdo.com/www8/o/se72c68781e90821c/img/i1e4162fd65ced56a/1313312565/std/imag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t xml:space="preserve">   </w:t>
          </w:r>
          <w:r>
            <w:rPr>
              <w:noProof/>
              <w:lang w:eastAsia="de-DE"/>
            </w:rPr>
            <w:drawing>
              <wp:inline distT="0" distB="0" distL="0" distR="0">
                <wp:extent cx="483235" cy="483235"/>
                <wp:effectExtent l="19050" t="0" r="0" b="0"/>
                <wp:docPr id="3" name="cc-m-imagesubtitle-image-5291177009" descr="http://u.jimdo.com/www8/o/se72c68781e90821c/img/ic158d0d7832163e1/1314299157/std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291177009" descr="http://u.jimdo.com/www8/o/se72c68781e90821c/img/ic158d0d7832163e1/1314299157/std/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664210" cy="577850"/>
                <wp:effectExtent l="19050" t="0" r="2540" b="0"/>
                <wp:docPr id="4" name="cc-m-imagesubtitle-image-5576659109" descr="Berufswahl- und ausbildungsfreundliche Schule 2012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5576659109" descr="Berufswahl- und ausbildungsfreundliche Schule 2012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0A0287" w:rsidRDefault="000A0287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</w:p>
        <w:p w:rsidR="000A0287" w:rsidRDefault="00161B7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Kooperative Gesamtschule </w:t>
          </w:r>
          <w:proofErr w:type="spellStart"/>
          <w:r>
            <w:rPr>
              <w:b/>
              <w:sz w:val="17"/>
              <w:szCs w:val="17"/>
            </w:rPr>
            <w:t>Sehnde</w:t>
          </w:r>
          <w:proofErr w:type="spellEnd"/>
          <w:r>
            <w:rPr>
              <w:b/>
              <w:sz w:val="17"/>
              <w:szCs w:val="17"/>
            </w:rPr>
            <w:t xml:space="preserve"> | Am </w:t>
          </w:r>
          <w:proofErr w:type="spellStart"/>
          <w:r>
            <w:rPr>
              <w:b/>
              <w:sz w:val="17"/>
              <w:szCs w:val="17"/>
            </w:rPr>
            <w:t>Papenholz</w:t>
          </w:r>
          <w:proofErr w:type="spellEnd"/>
          <w:r>
            <w:rPr>
              <w:b/>
              <w:sz w:val="17"/>
              <w:szCs w:val="17"/>
            </w:rPr>
            <w:t xml:space="preserve"> 11 | 31319 </w:t>
          </w:r>
          <w:proofErr w:type="spellStart"/>
          <w:r>
            <w:rPr>
              <w:b/>
              <w:sz w:val="17"/>
              <w:szCs w:val="17"/>
            </w:rPr>
            <w:t>Sehnde</w:t>
          </w:r>
          <w:proofErr w:type="spellEnd"/>
        </w:p>
        <w:p w:rsidR="000A0287" w:rsidRDefault="00161B73">
          <w:pPr>
            <w:pStyle w:val="Fuzeile"/>
            <w:spacing w:beforeAutospacing="0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Tel.: +49 5138.60222-0 | Fax-90 | E-Mail: </w:t>
          </w:r>
          <w:hyperlink r:id="rId4" w:history="1">
            <w:r>
              <w:rPr>
                <w:b/>
                <w:sz w:val="17"/>
                <w:szCs w:val="17"/>
              </w:rPr>
              <w:t>schulleitung@kgs-sehnde.de</w:t>
            </w:r>
          </w:hyperlink>
        </w:p>
        <w:p w:rsidR="000A0287" w:rsidRDefault="00161B73">
          <w:pPr>
            <w:pStyle w:val="Fuzeile"/>
            <w:spacing w:beforeAutospacing="0"/>
            <w:jc w:val="right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Internet: </w:t>
          </w:r>
          <w:hyperlink r:id="rId5" w:history="1">
            <w:r>
              <w:rPr>
                <w:b/>
                <w:sz w:val="17"/>
                <w:szCs w:val="17"/>
              </w:rPr>
              <w:t>www.kgs-sehnde.de</w:t>
            </w:r>
          </w:hyperlink>
          <w:r>
            <w:rPr>
              <w:b/>
              <w:sz w:val="17"/>
              <w:szCs w:val="17"/>
            </w:rPr>
            <w:t xml:space="preserve"> | Schulnummer 84402</w:t>
          </w:r>
        </w:p>
      </w:tc>
    </w:tr>
  </w:tbl>
  <w:p w:rsidR="000A0287" w:rsidRDefault="000A028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87" w:rsidRDefault="00161B73">
      <w:pPr>
        <w:spacing w:before="0"/>
      </w:pPr>
      <w:r>
        <w:separator/>
      </w:r>
    </w:p>
  </w:footnote>
  <w:footnote w:type="continuationSeparator" w:id="0">
    <w:p w:rsidR="000A0287" w:rsidRDefault="00161B7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87" w:rsidRDefault="00161B7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47825" cy="72453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F55"/>
    <w:multiLevelType w:val="hybridMultilevel"/>
    <w:tmpl w:val="9260D3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87"/>
    <w:rsid w:val="000A0287"/>
    <w:rsid w:val="000F3B12"/>
    <w:rsid w:val="00161B73"/>
    <w:rsid w:val="006F2224"/>
    <w:rsid w:val="00B25AD1"/>
    <w:rsid w:val="00C4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287"/>
    <w:pPr>
      <w:spacing w:before="100" w:beforeAutospacing="1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0A0287"/>
    <w:pPr>
      <w:keepNext/>
      <w:spacing w:before="0" w:beforeAutospacing="0"/>
      <w:outlineLvl w:val="1"/>
    </w:pPr>
    <w:rPr>
      <w:rFonts w:ascii="Arial" w:eastAsia="Times New Roman" w:hAnsi="Arial" w:cs="Arial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028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287"/>
  </w:style>
  <w:style w:type="paragraph" w:styleId="Fuzeile">
    <w:name w:val="footer"/>
    <w:basedOn w:val="Standard"/>
    <w:link w:val="FuzeileZchn"/>
    <w:uiPriority w:val="99"/>
    <w:semiHidden/>
    <w:unhideWhenUsed/>
    <w:rsid w:val="000A028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02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28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28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A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A028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A0287"/>
    <w:rPr>
      <w:rFonts w:ascii="Arial" w:eastAsia="Times New Roman" w:hAnsi="Arial" w:cs="Arial"/>
      <w:b/>
      <w:bCs/>
      <w:sz w:val="28"/>
    </w:rPr>
  </w:style>
  <w:style w:type="paragraph" w:styleId="StandardWeb">
    <w:name w:val="Normal (Web)"/>
    <w:basedOn w:val="Standard"/>
    <w:uiPriority w:val="99"/>
    <w:unhideWhenUsed/>
    <w:rsid w:val="000A0287"/>
    <w:pPr>
      <w:spacing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kgs-sehnde.de" TargetMode="External"/><Relationship Id="rId4" Type="http://schemas.openxmlformats.org/officeDocument/2006/relationships/hyperlink" Target="mailto:schulleitung@kgs-sehn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Sehnde</Company>
  <LinksUpToDate>false</LinksUpToDate>
  <CharactersWithSpaces>3811</CharactersWithSpaces>
  <SharedDoc>false</SharedDoc>
  <HLinks>
    <vt:vector size="12" baseType="variant"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http://www.kgs-sehnde.de/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mailto:schulleitung@kgs-sehnde.de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Windows-Benutzer</cp:lastModifiedBy>
  <cp:revision>6</cp:revision>
  <cp:lastPrinted>2013-10-29T14:30:00Z</cp:lastPrinted>
  <dcterms:created xsi:type="dcterms:W3CDTF">2017-04-26T15:55:00Z</dcterms:created>
  <dcterms:modified xsi:type="dcterms:W3CDTF">2017-04-26T15:57:00Z</dcterms:modified>
</cp:coreProperties>
</file>